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</w:t>
      </w:r>
    </w:p>
    <w:p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НИЖНЕКАМСКА</w:t>
      </w:r>
      <w:r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>
      <w:pPr>
        <w:pBdr>
          <w:top w:val="single" w:color="auto" w:sz="4" w:space="1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>
        <w:rPr>
          <w:rFonts w:ascii="Times New Roman" w:hAnsi="Times New Roman"/>
          <w:b/>
          <w:sz w:val="28"/>
          <w:szCs w:val="28"/>
        </w:rPr>
        <w:t xml:space="preserve">, г.  Нижнекамск, РТ, 423570</w:t>
      </w:r>
    </w:p>
    <w:p>
      <w:pPr>
        <w:pBdr>
          <w:top w:val="single" w:color="auto" w:sz="4" w:space="1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тел</w:t>
      </w:r>
      <w:r>
        <w:rPr>
          <w:rFonts w:ascii="Times New Roman" w:hAnsi="Times New Roman"/>
          <w:b/>
          <w:sz w:val="28"/>
          <w:szCs w:val="28"/>
        </w:rPr>
        <w:t xml:space="preserve">: 8(8555) 42-14-81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16</w:t>
      </w:r>
      <w:r>
        <w:rPr>
          <w:rFonts w:ascii="Times New Roman" w:hAnsi="Times New Roman"/>
          <w:b/>
          <w:sz w:val="28"/>
          <w:szCs w:val="28"/>
        </w:rPr>
        <w:t xml:space="preserve">Т</w:t>
      </w:r>
      <w:r>
        <w:rPr>
          <w:rFonts w:ascii="Times New Roman" w:hAnsi="Times New Roman"/>
          <w:b/>
          <w:sz w:val="28"/>
          <w:szCs w:val="28"/>
        </w:rPr>
        <w:t xml:space="preserve">.038@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tatar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ru</w:t>
      </w:r>
    </w:p>
    <w:p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</w:t>
      </w:r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.02.2024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</w:p>
    <w:p>
      <w:pPr>
        <w:widowControl w:val="false"/>
        <w:spacing w:after="0" w:line="240" w:lineRule="auto"/>
        <w:contextualSpacing w:val="true"/>
        <w:jc w:val="center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Об определении </w:t>
      </w:r>
      <w:r>
        <w:rPr>
          <w:rFonts w:ascii="Times New Roman" w:hAnsi="Times New Roman" w:eastAsia="Times New Roman" w:cs="Times New Roman"/>
          <w:b/>
          <w:sz w:val="27"/>
          <w:szCs w:val="27"/>
          <w:lang w:eastAsia="ar-SA"/>
        </w:rPr>
        <w:t xml:space="preserve">избирательных участков и адресов (описания мест) проведения голосования с использованием дополнительной формы голосования на выборах Президента Российской Федерации</w:t>
      </w:r>
    </w:p>
    <w:p>
      <w:pPr>
        <w:widowControl w:val="false"/>
        <w:spacing w:after="0" w:line="240" w:lineRule="auto"/>
        <w:rPr>
          <w:rFonts w:ascii="Times New Roman" w:hAnsi="Times New Roman" w:eastAsia="Times New Roman" w:cs="Times New Roman"/>
          <w:sz w:val="16"/>
          <w:szCs w:val="27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постановлением ЦИК России от 8 декабря 2023 года </w:t>
      </w:r>
      <w:r>
        <w:rPr>
          <w:rFonts w:ascii="Times New Roman" w:hAnsi="Times New Roman" w:eastAsia="Times New Roman" w:cs="Times New Roman"/>
          <w:sz w:val="27"/>
          <w:szCs w:val="27"/>
        </w:rPr>
        <w:br/>
        <w:t xml:space="preserve">№ 140/1080-8 «О проведении голосования на выборах Президента Российской Федерации, назначенных на 17 марта 2024 года, в течение нескольких дней подряд», пунктом 1.7 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подряд, утвержденного постановлением ЦИК России от 8 июня 2022 года № 86/718-8, территориальная избирательная комиссия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города Нижнекамска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 е ш и л а: </w:t>
      </w:r>
    </w:p>
    <w:p>
      <w:pPr>
        <w:widowControl w:val="false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Cs/>
          <w:iCs/>
          <w:sz w:val="27"/>
          <w:szCs w:val="27"/>
        </w:rPr>
        <w:t xml:space="preserve">1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 Определить </w:t>
      </w:r>
      <w:r>
        <w:rPr>
          <w:rFonts w:ascii="Times New Roman" w:hAnsi="Times New Roman" w:eastAsia="Times New Roman" w:cs="Times New Roman"/>
          <w:sz w:val="27"/>
          <w:szCs w:val="27"/>
          <w:lang w:eastAsia="ar-SA"/>
        </w:rPr>
        <w:t xml:space="preserve">избирательные участки и адреса (описания мест) для проведения голосования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групп избирателей, которые проживают в населенных пунктах, где отсутствуют помещения для голосования и транспортное сообщение, с которыми затруднено на выборах Президента Российской Федерации,</w:t>
      </w:r>
      <w:r>
        <w:rPr>
          <w:rFonts w:ascii="Times New Roman" w:hAnsi="Times New Roman" w:eastAsia="Times New Roman" w:cs="Times New Roman"/>
          <w:sz w:val="27"/>
          <w:szCs w:val="27"/>
          <w:lang w:eastAsia="ar-SA"/>
        </w:rPr>
        <w:t xml:space="preserve"> на выборах Президента Российской Федерации согласно приложению к настоящему решению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</w:p>
    <w:p>
      <w:pPr>
        <w:widowControl w:val="false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2. Направить настоящее решение для согласования в Центральную избирательную комиссию Республики Татарстан. 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3. Контроль за исполнением настоящего решения возложить на секретаря территориальной избирательной комиссии ФИО.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4. Разместить настоящее решение на официальном сайте территориальной избирательной комиссии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города Нижнекамска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Республики Татарстан в информационно-телекоммуникационной сети «Интернет».</w:t>
      </w:r>
    </w:p>
    <w:tbl>
      <w:tblPr>
        <w:tblStyle w:val="a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41"/>
        <w:gridCol w:w="5214"/>
      </w:tblGrid>
      <w:tr>
        <w:tc>
          <w:tcPr>
            <w:tcW w:w="414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территориальной избирательной комиссии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Нижнекамска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214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Бликин А.И.</w:t>
            </w:r>
          </w:p>
        </w:tc>
      </w:tr>
      <w:tr>
        <w:tc>
          <w:tcPr>
            <w:tcW w:w="414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территориал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ьной избирательной комиссии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Нижнекамска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214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Шайхутдинов М.М.</w:t>
            </w:r>
          </w:p>
        </w:tc>
      </w:tr>
    </w:tbl>
    <w:p>
      <w:pPr>
        <w:widowControl w:val="false"/>
        <w:spacing w:after="0" w:line="259" w:lineRule="auto"/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sectPr>
          <w:pgSz w:h="16838" w:w="11906"/>
          <w:pgMar w:top="567" w:right="850" w:bottom="993" w:left="993" w:header="708" w:footer="708" w:gutter="0"/>
          <w:cols w:space="708"/>
        </w:sectPr>
      </w:pPr>
    </w:p>
    <w:p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</w:t>
      </w:r>
    </w:p>
    <w:p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территориальной избирательной комиссии </w:t>
      </w:r>
    </w:p>
    <w:p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22.02.2024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8/5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использовании дополнительной возможности реализации избирательных прав граждан – голосование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402"/>
        <w:gridCol w:w="3970"/>
        <w:gridCol w:w="3828"/>
        <w:gridCol w:w="3392"/>
      </w:tblGrid>
      <w:tr>
        <w:trPr>
          <w:jc w:val="center"/>
          <w:trHeight w:val="3034"/>
          <w:tblHeader/>
        </w:trPr>
        <w:tc>
          <w:tcPr>
            <w:tcW w:w="565" w:type="dxa"/>
            <w:shd w:val="clear" w:color="auto" w:fill="auto"/>
            <w:vAlign w:val="center"/>
          </w:tcPr>
          <w:p>
            <w:pPr>
              <w:spacing w:after="60" w:before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избирательного участка, на территории которого применяется дополнительная возможность реализации избирательных прав граждан Российской Федерации</w:t>
            </w:r>
          </w:p>
        </w:tc>
        <w:tc>
          <w:tcPr>
            <w:tcW w:w="39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населенного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территории которого применяется дополнительная возможность реализации избирательных прав граждан Российской Федерации 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Удаленность населенного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территории которого применяется дополнительная возможность реализации избирательных прав граждан Российской Федерации от помещения для голосования</w:t>
            </w:r>
          </w:p>
        </w:tc>
        <w:tc>
          <w:tcPr>
            <w:tcW w:w="33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избирателей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населенных пунктах,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на территории которых применяется дополнительная возможность реализации избирательных прав граждан Российской Федерации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jc w:val="center"/>
          <w:tblHeader/>
        </w:trPr>
        <w:tc>
          <w:tcPr>
            <w:tcW w:w="565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2259</w:t>
            </w:r>
          </w:p>
        </w:tc>
        <w:tc>
          <w:tcPr>
            <w:tcW w:w="39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дер. Ильинка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6,8 км</w:t>
            </w:r>
          </w:p>
        </w:tc>
        <w:tc>
          <w:tcPr>
            <w:tcW w:w="339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</w:t>
            </w:r>
          </w:p>
        </w:tc>
      </w:tr>
      <w:tr>
        <w:trPr>
          <w:jc w:val="center"/>
          <w:tblHeader/>
        </w:trPr>
        <w:tc>
          <w:tcPr>
            <w:tcW w:w="565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2259</w:t>
            </w:r>
          </w:p>
        </w:tc>
        <w:tc>
          <w:tcPr>
            <w:tcW w:w="39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дер. Дмитриевка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10.0 км</w:t>
            </w:r>
          </w:p>
        </w:tc>
        <w:tc>
          <w:tcPr>
            <w:tcW w:w="339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</w:t>
            </w:r>
          </w:p>
        </w:tc>
      </w:tr>
    </w:tbl>
    <w:p>
      <w:pPr>
        <w:widowControl w:val="false"/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sectPr>
      <w:pgSz w:h="11906" w:orient="portrait" w:w="16838"/>
      <w:pgMar w:top="993" w:right="567" w:bottom="85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lvlJc w:val="left"/>
      <w:lvlText w:val="%1."/>
      <w:numFmt w:val="decimal"/>
      <w:pPr>
        <w:ind w:hanging="360" w:left="1440"/>
      </w:pPr>
      <w:start w:val="1"/>
    </w:lvl>
    <w:lvl w:ilvl="1" w:tentative="true" w:tplc="04190019">
      <w:lvlJc w:val="left"/>
      <w:lvlText w:val="%2."/>
      <w:numFmt w:val="lowerLetter"/>
      <w:pPr>
        <w:ind w:hanging="360" w:left="2160"/>
      </w:pPr>
      <w:start w:val="1"/>
    </w:lvl>
    <w:lvl w:ilvl="2" w:tentative="true" w:tplc="0419001B">
      <w:lvlJc w:val="right"/>
      <w:lvlText w:val="%3."/>
      <w:numFmt w:val="lowerRoman"/>
      <w:pPr>
        <w:ind w:hanging="180" w:left="2880"/>
      </w:pPr>
      <w:start w:val="1"/>
    </w:lvl>
    <w:lvl w:ilvl="3" w:tentative="true" w:tplc="0419000F">
      <w:lvlJc w:val="left"/>
      <w:lvlText w:val="%4."/>
      <w:numFmt w:val="decimal"/>
      <w:pPr>
        <w:ind w:hanging="360" w:left="3600"/>
      </w:pPr>
      <w:start w:val="1"/>
    </w:lvl>
    <w:lvl w:ilvl="4" w:tentative="true" w:tplc="04190019">
      <w:lvlJc w:val="left"/>
      <w:lvlText w:val="%5."/>
      <w:numFmt w:val="lowerLetter"/>
      <w:pPr>
        <w:ind w:hanging="360" w:left="4320"/>
      </w:pPr>
      <w:start w:val="1"/>
    </w:lvl>
    <w:lvl w:ilvl="5" w:tentative="true" w:tplc="0419001B">
      <w:lvlJc w:val="right"/>
      <w:lvlText w:val="%6."/>
      <w:numFmt w:val="lowerRoman"/>
      <w:pPr>
        <w:ind w:hanging="180" w:left="5040"/>
      </w:pPr>
      <w:start w:val="1"/>
    </w:lvl>
    <w:lvl w:ilvl="6" w:tentative="true" w:tplc="0419000F">
      <w:lvlJc w:val="left"/>
      <w:lvlText w:val="%7."/>
      <w:numFmt w:val="decimal"/>
      <w:pPr>
        <w:ind w:hanging="360" w:left="5760"/>
      </w:pPr>
      <w:start w:val="1"/>
    </w:lvl>
    <w:lvl w:ilvl="7" w:tentative="true" w:tplc="04190019">
      <w:lvlJc w:val="left"/>
      <w:lvlText w:val="%8."/>
      <w:numFmt w:val="lowerLetter"/>
      <w:pPr>
        <w:ind w:hanging="360" w:left="6480"/>
      </w:pPr>
      <w:start w:val="1"/>
    </w:lvl>
    <w:lvl w:ilvl="8" w:tentative="true" w:tplc="0419001B">
      <w:lvlJc w:val="right"/>
      <w:lvlText w:val="%9."/>
      <w:numFmt w:val="lowerRoman"/>
      <w:pPr>
        <w:ind w:hanging="180" w:left="7200"/>
      </w:pPr>
      <w:start w:val="1"/>
    </w:lvl>
  </w:abstractNum>
  <w:abstractNum w:abstractNumId="1">
    <w:multiLevelType w:val="multilevel"/>
    <w:lvl w:ilvl="0">
      <w:lvlJc w:val="left"/>
      <w:lvlText w:val="%1."/>
      <w:numFmt w:val="decimal"/>
      <w:pPr>
        <w:ind w:firstLine="0" w:left="0"/>
      </w:pPr>
      <w:rPr>
        <w:rFonts w:hint="default"/>
      </w:rPr>
      <w:start w:val="1"/>
      <w:suff w:val="tab"/>
    </w:lvl>
    <w:lvl w:ilvl="1">
      <w:isLgl w:val="true"/>
      <w:lvlJc w:val="left"/>
      <w:lvlText w:val="%1.%2"/>
      <w:numFmt w:val="decimal"/>
      <w:pPr>
        <w:ind w:hanging="732" w:left="1800"/>
      </w:pPr>
      <w:rPr>
        <w:rFonts w:hint="default"/>
      </w:rPr>
      <w:start w:val="1"/>
    </w:lvl>
    <w:lvl w:ilvl="2">
      <w:isLgl w:val="true"/>
      <w:lvlJc w:val="left"/>
      <w:lvlText w:val="%1.%2.%3"/>
      <w:numFmt w:val="decimal"/>
      <w:pPr>
        <w:ind w:hanging="732" w:left="2160"/>
      </w:pPr>
      <w:rPr>
        <w:rFonts w:hint="default"/>
      </w:rPr>
      <w:start w:val="1"/>
    </w:lvl>
    <w:lvl w:ilvl="3">
      <w:isLgl w:val="true"/>
      <w:lvlJc w:val="left"/>
      <w:lvlText w:val="%1.%2.%3.%4"/>
      <w:numFmt w:val="decimal"/>
      <w:pPr>
        <w:ind w:hanging="1080" w:left="2868"/>
      </w:pPr>
      <w:rPr>
        <w:rFonts w:hint="default"/>
      </w:rPr>
      <w:start w:val="1"/>
    </w:lvl>
    <w:lvl w:ilvl="4">
      <w:isLgl w:val="true"/>
      <w:lvlJc w:val="left"/>
      <w:lvlText w:val="%1.%2.%3.%4.%5"/>
      <w:numFmt w:val="decimal"/>
      <w:pPr>
        <w:ind w:hanging="1080" w:left="3228"/>
      </w:pPr>
      <w:rPr>
        <w:rFonts w:hint="default"/>
      </w:rPr>
      <w:start w:val="1"/>
    </w:lvl>
    <w:lvl w:ilvl="5">
      <w:isLgl w:val="true"/>
      <w:lvlJc w:val="left"/>
      <w:lvlText w:val="%1.%2.%3.%4.%5.%6"/>
      <w:numFmt w:val="decimal"/>
      <w:pPr>
        <w:ind w:hanging="1440" w:left="3948"/>
      </w:pPr>
      <w:rPr>
        <w:rFonts w:hint="default"/>
      </w:rPr>
      <w:start w:val="1"/>
    </w:lvl>
    <w:lvl w:ilvl="6">
      <w:isLgl w:val="true"/>
      <w:lvlJc w:val="left"/>
      <w:lvlText w:val="%1.%2.%3.%4.%5.%6.%7"/>
      <w:numFmt w:val="decimal"/>
      <w:pPr>
        <w:ind w:hanging="1440" w:left="4308"/>
      </w:pPr>
      <w:rPr>
        <w:rFonts w:hint="default"/>
      </w:rPr>
      <w:start w:val="1"/>
    </w:lvl>
    <w:lvl w:ilvl="7">
      <w:isLgl w:val="true"/>
      <w:lvlJc w:val="left"/>
      <w:lvlText w:val="%1.%2.%3.%4.%5.%6.%7.%8"/>
      <w:numFmt w:val="decimal"/>
      <w:pPr>
        <w:ind w:hanging="1800" w:left="5028"/>
      </w:pPr>
      <w:rPr>
        <w:rFonts w:hint="default"/>
      </w:rPr>
      <w:start w:val="1"/>
    </w:lvl>
    <w:lvl w:ilvl="8">
      <w:isLgl w:val="true"/>
      <w:lvlJc w:val="left"/>
      <w:lvlText w:val="%1.%2.%3.%4.%5.%6.%7.%8.%9"/>
      <w:numFmt w:val="decimal"/>
      <w:pPr>
        <w:ind w:hanging="2160" w:left="5748"/>
      </w:pPr>
      <w:rPr>
        <w:rFonts w:hint="default"/>
      </w:rPr>
      <w:start w:val="1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a4" w:customStyle="1">
    <w:name w:val="Верхний колонтитул Знак"/>
    <w:basedOn w:val="a0"/>
    <w:link w:val="a3"/>
    <w:rPr>
      <w:rFonts w:ascii="Times New Roman" w:hAnsi="Times New Roman" w:eastAsia="Times New Roman" w:cs="Times New Roman"/>
      <w:sz w:val="20"/>
      <w:szCs w:val="20"/>
    </w:rPr>
  </w:style>
  <w:style w:type="table" w:styleId="1" w:customStyle="1">
    <w:name w:val="Сетка таблицы1"/>
    <w:basedOn w:val="a1"/>
    <w:uiPriority w:val="39"/>
    <w:pPr>
      <w:spacing w:after="0" w:line="240" w:lineRule="auto"/>
    </w:pPr>
    <w:rPr>
      <w:rFonts w:ascii="Calibri" w:hAnsi="Calibri" w:eastAsia="Calibri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1">
    <w:name w:val="ConsPlusNonformat"/>
    <w:pPr>
      <w:widowControl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table" w:styleId="a5">
    <w:name w:val="Table Grid"/>
    <w:basedOn w:val="a1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List Paragraph"/>
    <w:basedOn w:val="a"/>
    <w:uiPriority w:val="34"/>
    <w:qFormat/>
    <w:pPr>
      <w:ind w:left="720"/>
      <w:contextualSpacing w:val="true"/>
    </w:pPr>
  </w:style>
  <w:style w:type="paragraph" w:styleId="a7">
    <w:name w:val="footnote text"/>
    <w:basedOn w:val="a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8" w:customStyle="1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haracters>2602</Characters>
  <CharactersWithSpaces>3052</CharactersWithSpaces>
  <Company/>
  <DocSecurity>0</DocSecurity>
  <HyperlinksChanged>false</HyperlinksChanged>
  <Lines>21</Lines>
  <LinksUpToDate>false</LinksUpToDate>
  <Pages>2</Pages>
  <Paragraphs>6</Paragraphs>
  <ScaleCrop>false</ScaleCrop>
  <SharedDoc>false</SharedDoc>
  <Template>Normal</Template>
  <TotalTime>1</TotalTime>
  <Words>456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2024-02-22T12:08:00Z</cp:lastPrinted>
  <dcterms:created xsi:type="dcterms:W3CDTF">2024-03-04T07:42:00Z</dcterms:created>
  <dcterms:modified xsi:type="dcterms:W3CDTF">2024-03-04T07:42:00Z</dcterms:modified>
</cp:coreProperties>
</file>